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18F" w:rsidRPr="00FB5D89" w:rsidRDefault="0045118F" w:rsidP="0045118F">
      <w:pPr>
        <w:pStyle w:val="LOGSSingle"/>
        <w:jc w:val="center"/>
        <w:rPr>
          <w:b/>
          <w:bCs/>
          <w:u w:val="single"/>
        </w:rPr>
      </w:pPr>
      <w:r w:rsidRPr="00FB5D89">
        <w:rPr>
          <w:b/>
          <w:bCs/>
          <w:u w:val="single"/>
        </w:rPr>
        <w:t>USE OF THIS FORM IS MANDATORY</w:t>
      </w:r>
    </w:p>
    <w:p w:rsidR="0045118F" w:rsidRDefault="0045118F" w:rsidP="00425FE9">
      <w:pPr>
        <w:pStyle w:val="NoSpacing"/>
        <w:jc w:val="center"/>
        <w:rPr>
          <w:rFonts w:ascii="Times New Roman" w:hAnsi="Times New Roman"/>
          <w:sz w:val="24"/>
          <w:szCs w:val="24"/>
        </w:rPr>
      </w:pPr>
    </w:p>
    <w:p w:rsidR="0045118F" w:rsidRDefault="0045118F" w:rsidP="00425FE9">
      <w:pPr>
        <w:pStyle w:val="NoSpacing"/>
        <w:jc w:val="center"/>
        <w:rPr>
          <w:rFonts w:ascii="Times New Roman" w:hAnsi="Times New Roman"/>
          <w:sz w:val="24"/>
          <w:szCs w:val="24"/>
        </w:rPr>
      </w:pPr>
    </w:p>
    <w:p w:rsidR="00425FE9" w:rsidRDefault="00425FE9" w:rsidP="00425FE9">
      <w:pPr>
        <w:pStyle w:val="NoSpacing"/>
        <w:jc w:val="center"/>
        <w:rPr>
          <w:rFonts w:ascii="Times New Roman" w:hAnsi="Times New Roman"/>
          <w:sz w:val="24"/>
          <w:szCs w:val="24"/>
        </w:rPr>
      </w:pPr>
      <w:r w:rsidRPr="005A3D33">
        <w:rPr>
          <w:rFonts w:ascii="Times New Roman" w:hAnsi="Times New Roman"/>
          <w:sz w:val="24"/>
          <w:szCs w:val="24"/>
        </w:rPr>
        <w:t>UNITED STATES BANKRUPTCY COURT</w:t>
      </w:r>
    </w:p>
    <w:p w:rsidR="00425FE9" w:rsidRPr="005A3D33" w:rsidRDefault="00425FE9" w:rsidP="00425FE9">
      <w:pPr>
        <w:pStyle w:val="NoSpacing"/>
        <w:jc w:val="center"/>
        <w:rPr>
          <w:rFonts w:ascii="Times New Roman" w:hAnsi="Times New Roman"/>
          <w:sz w:val="24"/>
          <w:szCs w:val="24"/>
        </w:rPr>
      </w:pPr>
    </w:p>
    <w:p w:rsidR="00425FE9" w:rsidRPr="005A3D33" w:rsidRDefault="00425FE9" w:rsidP="00425FE9">
      <w:pPr>
        <w:pStyle w:val="NoSpacing"/>
        <w:jc w:val="center"/>
        <w:rPr>
          <w:rFonts w:ascii="Times New Roman" w:hAnsi="Times New Roman"/>
          <w:sz w:val="24"/>
          <w:szCs w:val="24"/>
        </w:rPr>
      </w:pPr>
      <w:r w:rsidRPr="005A3D33">
        <w:rPr>
          <w:rFonts w:ascii="Times New Roman" w:hAnsi="Times New Roman"/>
          <w:sz w:val="24"/>
          <w:szCs w:val="24"/>
        </w:rPr>
        <w:t>DISTRICT OF NEW MEXICO</w:t>
      </w:r>
    </w:p>
    <w:p w:rsidR="00425FE9" w:rsidRDefault="00425FE9" w:rsidP="00425FE9">
      <w:pPr>
        <w:pStyle w:val="NoSpacing"/>
        <w:rPr>
          <w:rFonts w:ascii="Times New Roman" w:hAnsi="Times New Roman"/>
          <w:sz w:val="24"/>
          <w:szCs w:val="24"/>
        </w:rPr>
      </w:pPr>
      <w:r w:rsidRPr="005A3D33">
        <w:rPr>
          <w:rFonts w:ascii="Times New Roman" w:hAnsi="Times New Roman"/>
          <w:sz w:val="24"/>
          <w:szCs w:val="24"/>
        </w:rPr>
        <w:t>In re:</w:t>
      </w:r>
    </w:p>
    <w:p w:rsidR="00425FE9" w:rsidRPr="005A3D33" w:rsidRDefault="00425FE9" w:rsidP="00425FE9">
      <w:pPr>
        <w:pStyle w:val="NoSpacing"/>
        <w:rPr>
          <w:rFonts w:ascii="Times New Roman" w:hAnsi="Times New Roman"/>
          <w:sz w:val="24"/>
          <w:szCs w:val="24"/>
        </w:rPr>
      </w:pPr>
    </w:p>
    <w:p w:rsidR="00425FE9" w:rsidRPr="005A3D33" w:rsidRDefault="00425FE9" w:rsidP="00425FE9">
      <w:pPr>
        <w:pStyle w:val="NoSpacing"/>
        <w:rPr>
          <w:rFonts w:ascii="Times New Roman" w:hAnsi="Times New Roman"/>
          <w:i/>
          <w:sz w:val="24"/>
          <w:szCs w:val="24"/>
        </w:rPr>
      </w:pPr>
      <w:r w:rsidRPr="005A3D33">
        <w:rPr>
          <w:rFonts w:ascii="Times New Roman" w:hAnsi="Times New Roman"/>
          <w:i/>
          <w:sz w:val="24"/>
          <w:szCs w:val="24"/>
        </w:rPr>
        <w:t>BANKRUPTCY CAPTION</w:t>
      </w:r>
    </w:p>
    <w:p w:rsidR="00425FE9" w:rsidRDefault="00425FE9" w:rsidP="00425FE9">
      <w:pPr>
        <w:pStyle w:val="NoSpacing"/>
        <w:rPr>
          <w:rFonts w:ascii="Times New Roman" w:hAnsi="Times New Roman"/>
          <w:i/>
          <w:sz w:val="24"/>
          <w:szCs w:val="24"/>
        </w:rPr>
      </w:pPr>
      <w:r w:rsidRPr="005A3D33">
        <w:rPr>
          <w:rFonts w:ascii="Times New Roman" w:hAnsi="Times New Roman"/>
          <w:i/>
          <w:sz w:val="24"/>
          <w:szCs w:val="24"/>
        </w:rPr>
        <w:t>A</w:t>
      </w:r>
      <w:r>
        <w:rPr>
          <w:rFonts w:ascii="Times New Roman" w:hAnsi="Times New Roman"/>
          <w:i/>
          <w:sz w:val="24"/>
          <w:szCs w:val="24"/>
        </w:rPr>
        <w:t>DVERSARY CAPTION</w:t>
      </w:r>
    </w:p>
    <w:p w:rsidR="00425FE9" w:rsidRDefault="00425FE9" w:rsidP="00425FE9">
      <w:pPr>
        <w:pStyle w:val="NoSpacing"/>
        <w:rPr>
          <w:rFonts w:ascii="Times New Roman" w:hAnsi="Times New Roman"/>
          <w:i/>
          <w:sz w:val="24"/>
          <w:szCs w:val="24"/>
        </w:rPr>
      </w:pPr>
    </w:p>
    <w:p w:rsidR="00425FE9" w:rsidRDefault="00425FE9" w:rsidP="00425FE9">
      <w:pPr>
        <w:pStyle w:val="NoSpacing"/>
        <w:rPr>
          <w:rFonts w:ascii="Times New Roman" w:hAnsi="Times New Roman"/>
          <w:i/>
          <w:sz w:val="24"/>
          <w:szCs w:val="24"/>
        </w:rPr>
      </w:pPr>
    </w:p>
    <w:p w:rsidR="00425FE9" w:rsidRPr="005B5733" w:rsidRDefault="00425FE9" w:rsidP="00425FE9">
      <w:pPr>
        <w:pStyle w:val="NoSpacing"/>
        <w:jc w:val="center"/>
        <w:rPr>
          <w:rFonts w:ascii="Times New Roman" w:hAnsi="Times New Roman"/>
          <w:b/>
          <w:sz w:val="24"/>
          <w:szCs w:val="24"/>
        </w:rPr>
      </w:pPr>
      <w:r w:rsidRPr="003A4F35">
        <w:rPr>
          <w:rFonts w:ascii="Times New Roman" w:hAnsi="Times New Roman"/>
          <w:b/>
          <w:sz w:val="24"/>
          <w:szCs w:val="24"/>
          <w:u w:val="single"/>
        </w:rPr>
        <w:t>CONSENT OR REFUSAL TO CONSENT TO THE BANKRUPTCY COURT HEARING AND DETERMINING CLAIMS</w:t>
      </w:r>
    </w:p>
    <w:p w:rsidR="00425FE9" w:rsidRPr="005A3D33" w:rsidRDefault="00425FE9" w:rsidP="00425FE9">
      <w:pPr>
        <w:pStyle w:val="NoSpacing"/>
        <w:jc w:val="center"/>
        <w:rPr>
          <w:rFonts w:ascii="Times New Roman" w:hAnsi="Times New Roman"/>
          <w:b/>
          <w:sz w:val="24"/>
          <w:szCs w:val="24"/>
          <w:u w:val="single"/>
        </w:rPr>
      </w:pPr>
    </w:p>
    <w:p w:rsidR="00425FE9" w:rsidRDefault="00425FE9" w:rsidP="00425FE9">
      <w:pPr>
        <w:spacing w:after="0"/>
        <w:jc w:val="both"/>
      </w:pPr>
      <w:r>
        <w:tab/>
        <w:t>28 U.S.C. Section 157 provides that bankruptcy judges may hear and determine certain matters regardless of whether the parties consent, and may hear but may not determine other matters unless the parties consent to the bankruptcy court determining such matters.</w:t>
      </w:r>
      <w:r>
        <w:rPr>
          <w:rStyle w:val="FootnoteReference"/>
        </w:rPr>
        <w:footnoteReference w:id="1"/>
      </w:r>
      <w:r>
        <w:t xml:space="preserve">  Indicate below whether you consent to the Bankruptcy Court hearing </w:t>
      </w:r>
      <w:r w:rsidRPr="003A4F35">
        <w:t>and</w:t>
      </w:r>
      <w:r>
        <w:t xml:space="preserve"> determining claims in this adversary proceeding</w:t>
      </w:r>
      <w:r w:rsidR="00BF6B8F">
        <w:t xml:space="preserve"> subject to review under 28</w:t>
      </w:r>
      <w:r w:rsidR="00F36660">
        <w:t xml:space="preserve"> U.S.C. § 158</w:t>
      </w:r>
      <w:r>
        <w:t>.</w:t>
      </w:r>
    </w:p>
    <w:p w:rsidR="00425FE9" w:rsidRDefault="00425FE9" w:rsidP="00425FE9">
      <w:pPr>
        <w:spacing w:after="0"/>
        <w:jc w:val="both"/>
      </w:pPr>
    </w:p>
    <w:p w:rsidR="00425FE9" w:rsidRPr="003A4F35" w:rsidRDefault="00425FE9" w:rsidP="00425FE9">
      <w:pPr>
        <w:ind w:left="720" w:hanging="720"/>
        <w:jc w:val="both"/>
        <w:rPr>
          <w:szCs w:val="24"/>
        </w:rPr>
      </w:pPr>
      <w:proofErr w:type="gramStart"/>
      <w:r>
        <w:t>_____</w:t>
      </w:r>
      <w:r>
        <w:tab/>
        <w:t>1.</w:t>
      </w:r>
      <w:proofErr w:type="gramEnd"/>
      <w:r>
        <w:t xml:space="preserve">  </w:t>
      </w:r>
      <w:r w:rsidRPr="003A4F35">
        <w:rPr>
          <w:u w:val="single"/>
        </w:rPr>
        <w:t>All claims</w:t>
      </w:r>
      <w:r>
        <w:t xml:space="preserve">.  The undersigned party </w:t>
      </w:r>
      <w:r w:rsidRPr="003A4F35">
        <w:rPr>
          <w:szCs w:val="24"/>
        </w:rPr>
        <w:t>consent</w:t>
      </w:r>
      <w:r>
        <w:rPr>
          <w:szCs w:val="24"/>
        </w:rPr>
        <w:t xml:space="preserve">s to the bankruptcy court hearing </w:t>
      </w:r>
      <w:r w:rsidRPr="003A4F35">
        <w:rPr>
          <w:szCs w:val="24"/>
        </w:rPr>
        <w:t>and</w:t>
      </w:r>
      <w:r>
        <w:rPr>
          <w:szCs w:val="24"/>
        </w:rPr>
        <w:t xml:space="preserve"> determining all claims in this adversary proceeding, and to entering final orders and judgments (including money judgments if appropriate) on all claims, subject to appellate review.</w:t>
      </w:r>
    </w:p>
    <w:p w:rsidR="00425FE9" w:rsidRPr="003F7296" w:rsidRDefault="00425FE9" w:rsidP="00425FE9">
      <w:pPr>
        <w:ind w:left="720" w:hanging="720"/>
        <w:jc w:val="both"/>
      </w:pPr>
      <w:proofErr w:type="gramStart"/>
      <w:r>
        <w:t>_____</w:t>
      </w:r>
      <w:r>
        <w:tab/>
        <w:t>2.</w:t>
      </w:r>
      <w:proofErr w:type="gramEnd"/>
      <w:r>
        <w:t xml:space="preserve">  </w:t>
      </w:r>
      <w:r w:rsidRPr="003A4F35">
        <w:rPr>
          <w:u w:val="single"/>
        </w:rPr>
        <w:t>No claims</w:t>
      </w:r>
      <w:r>
        <w:t xml:space="preserve">.  The undersigned party </w:t>
      </w:r>
      <w:r w:rsidRPr="003A4F35">
        <w:t>do</w:t>
      </w:r>
      <w:r>
        <w:t>es</w:t>
      </w:r>
      <w:r w:rsidRPr="003A4F35">
        <w:t xml:space="preserve"> not </w:t>
      </w:r>
      <w:r w:rsidRPr="003A4F35">
        <w:rPr>
          <w:szCs w:val="24"/>
        </w:rPr>
        <w:t>consent</w:t>
      </w:r>
      <w:r>
        <w:rPr>
          <w:szCs w:val="24"/>
        </w:rPr>
        <w:t xml:space="preserve"> to the bankruptcy court hearing and determining any claims in this adversary proceeding.</w:t>
      </w:r>
    </w:p>
    <w:p w:rsidR="00425FE9" w:rsidRDefault="00425FE9" w:rsidP="00425FE9">
      <w:pPr>
        <w:ind w:left="720" w:hanging="720"/>
        <w:jc w:val="both"/>
        <w:rPr>
          <w:szCs w:val="24"/>
        </w:rPr>
      </w:pPr>
      <w:proofErr w:type="gramStart"/>
      <w:r>
        <w:t>_____</w:t>
      </w:r>
      <w:r>
        <w:tab/>
        <w:t>3.</w:t>
      </w:r>
      <w:proofErr w:type="gramEnd"/>
      <w:r>
        <w:t xml:space="preserve">  </w:t>
      </w:r>
      <w:proofErr w:type="gramStart"/>
      <w:r w:rsidRPr="003A4F35">
        <w:rPr>
          <w:u w:val="single"/>
        </w:rPr>
        <w:t>Certain claims</w:t>
      </w:r>
      <w:r>
        <w:t>.</w:t>
      </w:r>
      <w:proofErr w:type="gramEnd"/>
      <w:r>
        <w:t xml:space="preserve">  The undersigned party </w:t>
      </w:r>
      <w:r w:rsidRPr="003A4F35">
        <w:rPr>
          <w:szCs w:val="24"/>
        </w:rPr>
        <w:t>consent</w:t>
      </w:r>
      <w:r>
        <w:rPr>
          <w:szCs w:val="24"/>
        </w:rPr>
        <w:t xml:space="preserve">s to the bankruptcy court hearing and determining </w:t>
      </w:r>
      <w:r w:rsidR="003A15EB">
        <w:rPr>
          <w:szCs w:val="24"/>
        </w:rPr>
        <w:t xml:space="preserve">only </w:t>
      </w:r>
      <w:r>
        <w:rPr>
          <w:szCs w:val="24"/>
        </w:rPr>
        <w:t xml:space="preserve">the following claims in this adversary proceeding, and to entering final orders and judgments (including money judgments if appropriate) on such claims, subject to appellate review, </w:t>
      </w:r>
      <w:r w:rsidRPr="003A4F35">
        <w:rPr>
          <w:szCs w:val="24"/>
        </w:rPr>
        <w:t>but do</w:t>
      </w:r>
      <w:r>
        <w:rPr>
          <w:szCs w:val="24"/>
        </w:rPr>
        <w:t>es</w:t>
      </w:r>
      <w:r w:rsidRPr="003A4F35">
        <w:rPr>
          <w:szCs w:val="24"/>
        </w:rPr>
        <w:t xml:space="preserve"> not consent </w:t>
      </w:r>
      <w:r>
        <w:rPr>
          <w:szCs w:val="24"/>
        </w:rPr>
        <w:t>to the bankruptcy court hearing and determining any other claims in this adversary proceeding).</w:t>
      </w:r>
    </w:p>
    <w:p w:rsidR="00425FE9" w:rsidRPr="0031562A" w:rsidRDefault="00425FE9" w:rsidP="00425FE9">
      <w:pPr>
        <w:ind w:left="720"/>
        <w:jc w:val="both"/>
        <w:rPr>
          <w:b/>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5FE9" w:rsidRDefault="00425FE9" w:rsidP="00425FE9">
      <w:pPr>
        <w:spacing w:after="0" w:line="240" w:lineRule="auto"/>
        <w:ind w:left="3960"/>
        <w:rPr>
          <w:szCs w:val="24"/>
          <w:u w:val="single"/>
        </w:rPr>
      </w:pPr>
    </w:p>
    <w:p w:rsidR="00425FE9" w:rsidRDefault="00425FE9" w:rsidP="00425FE9">
      <w:pPr>
        <w:spacing w:after="0" w:line="240" w:lineRule="auto"/>
        <w:ind w:left="3960"/>
        <w:rPr>
          <w:szCs w:val="24"/>
          <w:u w:val="single"/>
        </w:rPr>
      </w:pPr>
    </w:p>
    <w:p w:rsidR="00425FE9" w:rsidRDefault="00425FE9" w:rsidP="00425FE9">
      <w:pPr>
        <w:spacing w:after="0" w:line="240" w:lineRule="auto"/>
        <w:ind w:left="3960"/>
        <w:rPr>
          <w:szCs w:val="24"/>
          <w:u w:val="single"/>
        </w:rPr>
      </w:pPr>
      <w:r>
        <w:rPr>
          <w:szCs w:val="24"/>
          <w:u w:val="single"/>
        </w:rPr>
        <w:t>[</w:t>
      </w:r>
      <w:proofErr w:type="gramStart"/>
      <w:r w:rsidRPr="003A4F35">
        <w:rPr>
          <w:i/>
          <w:szCs w:val="24"/>
        </w:rPr>
        <w:t>attorney</w:t>
      </w:r>
      <w:proofErr w:type="gramEnd"/>
      <w:r w:rsidRPr="003A4F35">
        <w:rPr>
          <w:i/>
          <w:szCs w:val="24"/>
        </w:rPr>
        <w:t xml:space="preserve"> signature block</w:t>
      </w:r>
      <w:r>
        <w:rPr>
          <w:szCs w:val="24"/>
          <w:u w:val="single"/>
        </w:rPr>
        <w:t>]</w:t>
      </w:r>
    </w:p>
    <w:p w:rsidR="00425FE9" w:rsidRDefault="00425FE9" w:rsidP="00425FE9">
      <w:pPr>
        <w:spacing w:after="0" w:line="240" w:lineRule="auto"/>
        <w:ind w:left="3960"/>
        <w:rPr>
          <w:szCs w:val="24"/>
          <w:u w:val="single"/>
        </w:rPr>
      </w:pPr>
    </w:p>
    <w:p w:rsidR="00425FE9" w:rsidRDefault="00425FE9" w:rsidP="00425FE9">
      <w:pPr>
        <w:spacing w:after="0" w:line="240" w:lineRule="auto"/>
        <w:ind w:left="3960"/>
        <w:rPr>
          <w:szCs w:val="24"/>
          <w:u w:val="single"/>
        </w:rPr>
      </w:pPr>
    </w:p>
    <w:p w:rsidR="00425FE9" w:rsidRPr="003A4F35" w:rsidRDefault="00425FE9" w:rsidP="00425FE9">
      <w:pPr>
        <w:spacing w:after="0" w:line="240" w:lineRule="auto"/>
        <w:ind w:left="3960"/>
        <w:rPr>
          <w:szCs w:val="24"/>
        </w:rPr>
      </w:pPr>
      <w:proofErr w:type="gramStart"/>
      <w:r w:rsidRPr="003A4F35">
        <w:rPr>
          <w:szCs w:val="24"/>
        </w:rPr>
        <w:t>or</w:t>
      </w:r>
      <w:proofErr w:type="gramEnd"/>
      <w:r w:rsidRPr="003A4F35">
        <w:rPr>
          <w:szCs w:val="24"/>
        </w:rPr>
        <w:t xml:space="preserve"> if pro se</w:t>
      </w:r>
    </w:p>
    <w:p w:rsidR="00425FE9" w:rsidRDefault="00425FE9" w:rsidP="00425FE9">
      <w:pPr>
        <w:spacing w:after="0" w:line="240" w:lineRule="auto"/>
        <w:ind w:left="3960"/>
        <w:rPr>
          <w:b/>
          <w:szCs w:val="24"/>
        </w:rPr>
      </w:pPr>
    </w:p>
    <w:p w:rsidR="00425FE9" w:rsidRDefault="00425FE9" w:rsidP="00425FE9">
      <w:pPr>
        <w:spacing w:after="0" w:line="240" w:lineRule="auto"/>
        <w:ind w:left="3960"/>
        <w:rPr>
          <w:b/>
          <w:szCs w:val="24"/>
        </w:rPr>
      </w:pPr>
    </w:p>
    <w:p w:rsidR="00425FE9" w:rsidRPr="00E34474" w:rsidRDefault="00425FE9" w:rsidP="00425FE9">
      <w:pPr>
        <w:spacing w:after="0" w:line="240" w:lineRule="auto"/>
        <w:ind w:left="3960"/>
        <w:rPr>
          <w:szCs w:val="24"/>
        </w:rPr>
      </w:pPr>
      <w:r w:rsidRPr="00E34474">
        <w:rPr>
          <w:szCs w:val="24"/>
        </w:rPr>
        <w:t>______________________________________</w:t>
      </w:r>
    </w:p>
    <w:p w:rsidR="00425FE9" w:rsidRPr="00E34474" w:rsidRDefault="00425FE9" w:rsidP="00425FE9">
      <w:pPr>
        <w:spacing w:after="0" w:line="240" w:lineRule="auto"/>
        <w:ind w:left="3960"/>
        <w:rPr>
          <w:szCs w:val="24"/>
        </w:rPr>
      </w:pPr>
      <w:r>
        <w:rPr>
          <w:szCs w:val="24"/>
        </w:rPr>
        <w:t>Party</w:t>
      </w:r>
    </w:p>
    <w:p w:rsidR="00425FE9" w:rsidRDefault="00425FE9" w:rsidP="00425FE9">
      <w:pPr>
        <w:spacing w:after="0" w:line="240" w:lineRule="auto"/>
        <w:ind w:left="3960"/>
        <w:rPr>
          <w:szCs w:val="24"/>
          <w:u w:val="single"/>
        </w:rPr>
      </w:pPr>
    </w:p>
    <w:p w:rsidR="00425FE9" w:rsidRPr="00E34474" w:rsidRDefault="00425FE9" w:rsidP="00425FE9">
      <w:pPr>
        <w:spacing w:after="0" w:line="240" w:lineRule="auto"/>
        <w:ind w:left="3960"/>
        <w:rPr>
          <w:szCs w:val="24"/>
        </w:rPr>
      </w:pPr>
      <w:r w:rsidRPr="00E34474">
        <w:rPr>
          <w:szCs w:val="24"/>
        </w:rPr>
        <w:t>______________________________________</w:t>
      </w:r>
    </w:p>
    <w:p w:rsidR="00425FE9" w:rsidRPr="00E34474" w:rsidRDefault="00425FE9" w:rsidP="00425FE9">
      <w:pPr>
        <w:spacing w:after="0" w:line="240" w:lineRule="auto"/>
        <w:ind w:left="3960"/>
        <w:rPr>
          <w:szCs w:val="24"/>
        </w:rPr>
      </w:pPr>
      <w:r>
        <w:rPr>
          <w:szCs w:val="24"/>
        </w:rPr>
        <w:t>Signature</w:t>
      </w:r>
    </w:p>
    <w:p w:rsidR="00425FE9" w:rsidRDefault="00425FE9" w:rsidP="00425FE9">
      <w:pPr>
        <w:spacing w:after="0" w:line="240" w:lineRule="auto"/>
        <w:ind w:left="4320"/>
        <w:rPr>
          <w:szCs w:val="24"/>
          <w:u w:val="single"/>
        </w:rPr>
      </w:pPr>
    </w:p>
    <w:p w:rsidR="00425FE9" w:rsidRDefault="00425FE9" w:rsidP="00425FE9">
      <w:pPr>
        <w:spacing w:after="0" w:line="240" w:lineRule="auto"/>
        <w:ind w:left="4320"/>
        <w:rPr>
          <w:szCs w:val="24"/>
          <w:u w:val="single"/>
        </w:rPr>
      </w:pPr>
    </w:p>
    <w:p w:rsidR="00425FE9" w:rsidRDefault="00425FE9" w:rsidP="00425FE9">
      <w:pPr>
        <w:spacing w:after="0" w:line="240" w:lineRule="auto"/>
        <w:rPr>
          <w:szCs w:val="24"/>
          <w:u w:val="single"/>
        </w:rPr>
      </w:pPr>
    </w:p>
    <w:p w:rsidR="00425FE9" w:rsidRPr="0031562A" w:rsidRDefault="00425FE9" w:rsidP="00425FE9">
      <w:pPr>
        <w:spacing w:after="0" w:line="240" w:lineRule="auto"/>
        <w:rPr>
          <w:szCs w:val="24"/>
          <w:u w:val="single"/>
        </w:rPr>
      </w:pPr>
      <w:r>
        <w:rPr>
          <w:szCs w:val="24"/>
          <w:u w:val="single"/>
        </w:rPr>
        <w:t>[</w:t>
      </w:r>
      <w:proofErr w:type="gramStart"/>
      <w:r>
        <w:rPr>
          <w:szCs w:val="24"/>
          <w:u w:val="single"/>
        </w:rPr>
        <w:t>certificate</w:t>
      </w:r>
      <w:proofErr w:type="gramEnd"/>
      <w:r>
        <w:rPr>
          <w:szCs w:val="24"/>
          <w:u w:val="single"/>
        </w:rPr>
        <w:t xml:space="preserve"> of service]</w:t>
      </w:r>
    </w:p>
    <w:p w:rsidR="002A36A3" w:rsidRDefault="002A36A3"/>
    <w:sectPr w:rsidR="002A36A3" w:rsidSect="00782557">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FE9" w:rsidRDefault="00425FE9" w:rsidP="00425FE9">
      <w:pPr>
        <w:spacing w:after="0" w:line="240" w:lineRule="auto"/>
      </w:pPr>
      <w:r>
        <w:separator/>
      </w:r>
    </w:p>
  </w:endnote>
  <w:endnote w:type="continuationSeparator" w:id="0">
    <w:p w:rsidR="00425FE9" w:rsidRDefault="00425FE9" w:rsidP="00425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4EB" w:rsidRDefault="00BF6B8F">
    <w:pPr>
      <w:pStyle w:val="Footer"/>
      <w:jc w:val="center"/>
    </w:pPr>
    <w:r>
      <w:t>-</w:t>
    </w:r>
    <w:r w:rsidR="00980886">
      <w:fldChar w:fldCharType="begin"/>
    </w:r>
    <w:r>
      <w:instrText xml:space="preserve"> PAGE   \* MERGEFORMAT </w:instrText>
    </w:r>
    <w:r w:rsidR="00980886">
      <w:fldChar w:fldCharType="separate"/>
    </w:r>
    <w:r w:rsidR="0045118F">
      <w:rPr>
        <w:noProof/>
      </w:rPr>
      <w:t>2</w:t>
    </w:r>
    <w:r w:rsidR="00980886">
      <w:fldChar w:fldCharType="end"/>
    </w:r>
    <w:r>
      <w:t>-</w:t>
    </w:r>
  </w:p>
  <w:p w:rsidR="000004EB" w:rsidRDefault="00FB5D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FE9" w:rsidRDefault="00425FE9" w:rsidP="00425FE9">
      <w:pPr>
        <w:spacing w:after="0" w:line="240" w:lineRule="auto"/>
      </w:pPr>
      <w:r>
        <w:separator/>
      </w:r>
    </w:p>
  </w:footnote>
  <w:footnote w:type="continuationSeparator" w:id="0">
    <w:p w:rsidR="00425FE9" w:rsidRDefault="00425FE9" w:rsidP="00425FE9">
      <w:pPr>
        <w:spacing w:after="0" w:line="240" w:lineRule="auto"/>
      </w:pPr>
      <w:r>
        <w:continuationSeparator/>
      </w:r>
    </w:p>
  </w:footnote>
  <w:footnote w:id="1">
    <w:p w:rsidR="00425FE9" w:rsidRPr="003A4F35" w:rsidRDefault="00425FE9" w:rsidP="00425FE9">
      <w:pPr>
        <w:spacing w:after="0"/>
        <w:jc w:val="both"/>
        <w:rPr>
          <w:sz w:val="22"/>
        </w:rPr>
      </w:pPr>
      <w:r w:rsidRPr="003A4F35">
        <w:rPr>
          <w:rStyle w:val="FootnoteReference"/>
          <w:sz w:val="22"/>
        </w:rPr>
        <w:footnoteRef/>
      </w:r>
      <w:r w:rsidRPr="003A4F35">
        <w:rPr>
          <w:sz w:val="22"/>
        </w:rPr>
        <w:t xml:space="preserve"> 28 U.S.C. Sec. 157(c</w:t>
      </w:r>
      <w:proofErr w:type="gramStart"/>
      <w:r w:rsidRPr="003A4F35">
        <w:rPr>
          <w:sz w:val="22"/>
        </w:rPr>
        <w:t>)(</w:t>
      </w:r>
      <w:proofErr w:type="gramEnd"/>
      <w:r w:rsidRPr="003A4F35">
        <w:rPr>
          <w:sz w:val="22"/>
        </w:rPr>
        <w:t>2) provides:  “</w:t>
      </w:r>
      <w:r w:rsidRPr="003A4F35">
        <w:rPr>
          <w:rStyle w:val="ptext-2"/>
          <w:sz w:val="22"/>
        </w:rPr>
        <w:t>Notwithstanding the provisions of paragraph (1) of this subsection [11 U.S.C. §</w:t>
      </w:r>
      <w:r w:rsidRPr="003A4F35">
        <w:rPr>
          <w:sz w:val="22"/>
        </w:rPr>
        <w:t>157(c)(1)]</w:t>
      </w:r>
      <w:r w:rsidRPr="003A4F35">
        <w:rPr>
          <w:rStyle w:val="ptext-2"/>
          <w:sz w:val="22"/>
        </w:rPr>
        <w:t>,</w:t>
      </w:r>
      <w:r w:rsidRPr="003A4F35">
        <w:rPr>
          <w:sz w:val="22"/>
        </w:rPr>
        <w:t xml:space="preserve"> the district court, with the consent of all the parties to the proceeding, may refer a proceeding related to a case under title 11 to a bankruptcy judge to hear and determine and to enter appropriate orders and judgments, subject to review under section 158 of this title.”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25FE9"/>
    <w:rsid w:val="002A36A3"/>
    <w:rsid w:val="003A15EB"/>
    <w:rsid w:val="00425FE9"/>
    <w:rsid w:val="0045118F"/>
    <w:rsid w:val="00980886"/>
    <w:rsid w:val="00BF6B8F"/>
    <w:rsid w:val="00C14676"/>
    <w:rsid w:val="00F36660"/>
    <w:rsid w:val="00FB5D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FE9"/>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ext-2">
    <w:name w:val="ptext-2"/>
    <w:basedOn w:val="DefaultParagraphFont"/>
    <w:rsid w:val="00425FE9"/>
  </w:style>
  <w:style w:type="paragraph" w:styleId="NoSpacing">
    <w:name w:val="No Spacing"/>
    <w:uiPriority w:val="1"/>
    <w:qFormat/>
    <w:rsid w:val="00425FE9"/>
    <w:pPr>
      <w:spacing w:after="0" w:line="240" w:lineRule="auto"/>
    </w:pPr>
    <w:rPr>
      <w:rFonts w:ascii="Calibri" w:eastAsia="Calibri" w:hAnsi="Calibri"/>
      <w:sz w:val="22"/>
    </w:rPr>
  </w:style>
  <w:style w:type="paragraph" w:styleId="Footer">
    <w:name w:val="footer"/>
    <w:basedOn w:val="Normal"/>
    <w:link w:val="FooterChar"/>
    <w:uiPriority w:val="99"/>
    <w:unhideWhenUsed/>
    <w:rsid w:val="00425F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FE9"/>
    <w:rPr>
      <w:rFonts w:eastAsia="Calibri"/>
    </w:rPr>
  </w:style>
  <w:style w:type="character" w:styleId="FootnoteReference">
    <w:name w:val="footnote reference"/>
    <w:uiPriority w:val="99"/>
    <w:semiHidden/>
    <w:unhideWhenUsed/>
    <w:rsid w:val="00425FE9"/>
    <w:rPr>
      <w:vertAlign w:val="superscript"/>
    </w:rPr>
  </w:style>
  <w:style w:type="paragraph" w:styleId="FootnoteText">
    <w:name w:val="footnote text"/>
    <w:basedOn w:val="Normal"/>
    <w:link w:val="FootnoteTextChar"/>
    <w:uiPriority w:val="99"/>
    <w:semiHidden/>
    <w:unhideWhenUsed/>
    <w:rsid w:val="00BF6B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6B8F"/>
    <w:rPr>
      <w:rFonts w:eastAsia="Calibri"/>
      <w:sz w:val="20"/>
      <w:szCs w:val="20"/>
    </w:rPr>
  </w:style>
  <w:style w:type="paragraph" w:customStyle="1" w:styleId="LOGSSingle">
    <w:name w:val="LOGS Single"/>
    <w:basedOn w:val="Normal"/>
    <w:rsid w:val="0045118F"/>
    <w:pPr>
      <w:spacing w:after="0" w:line="240" w:lineRule="auto"/>
    </w:pPr>
    <w:rPr>
      <w:rFonts w:eastAsia="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82778-D2A6-44BE-A375-F5DC0627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321</Words>
  <Characters>1833</Characters>
  <Application>Microsoft Office Word</Application>
  <DocSecurity>0</DocSecurity>
  <Lines>15</Lines>
  <Paragraphs>4</Paragraphs>
  <ScaleCrop>false</ScaleCrop>
  <Company>USBC</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dc:creator>
  <cp:keywords/>
  <dc:description/>
  <cp:lastModifiedBy>judgej</cp:lastModifiedBy>
  <cp:revision>6</cp:revision>
  <dcterms:created xsi:type="dcterms:W3CDTF">2012-08-31T20:58:00Z</dcterms:created>
  <dcterms:modified xsi:type="dcterms:W3CDTF">2012-09-05T20:07:00Z</dcterms:modified>
</cp:coreProperties>
</file>